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4B02" w14:textId="70B802A1" w:rsidR="00B11B3B" w:rsidRPr="00B11B3B" w:rsidRDefault="00B11B3B">
      <w:pPr>
        <w:rPr>
          <w:rFonts w:cstheme="minorHAnsi"/>
          <w:b/>
          <w:bCs/>
        </w:rPr>
      </w:pPr>
      <w:r w:rsidRPr="00B11B3B">
        <w:rPr>
          <w:rFonts w:cstheme="minorHAnsi"/>
          <w:b/>
          <w:bCs/>
        </w:rPr>
        <w:t>Announcement – RE: WA Long-Term Care Trust Act</w:t>
      </w:r>
    </w:p>
    <w:p w14:paraId="5E49E062" w14:textId="3C9434AF" w:rsidR="00B11B3B" w:rsidRPr="00B11B3B" w:rsidRDefault="00B11B3B" w:rsidP="00B11B3B">
      <w:pPr>
        <w:autoSpaceDE w:val="0"/>
        <w:autoSpaceDN w:val="0"/>
        <w:adjustRightInd w:val="0"/>
        <w:spacing w:after="0" w:line="240" w:lineRule="auto"/>
        <w:rPr>
          <w:rFonts w:cstheme="minorHAnsi"/>
          <w:color w:val="231F20"/>
        </w:rPr>
      </w:pPr>
      <w:r w:rsidRPr="00B11B3B">
        <w:rPr>
          <w:rFonts w:cstheme="minorHAnsi"/>
        </w:rPr>
        <w:t>On Wednesday April 21</w:t>
      </w:r>
      <w:r w:rsidRPr="00B11B3B">
        <w:rPr>
          <w:rFonts w:cstheme="minorHAnsi"/>
          <w:vertAlign w:val="superscript"/>
        </w:rPr>
        <w:t>st</w:t>
      </w:r>
      <w:r w:rsidRPr="00B11B3B">
        <w:rPr>
          <w:rFonts w:cstheme="minorHAnsi"/>
        </w:rPr>
        <w:t>, Governor Jay Inslee signed a bill to start a new excise tax beginning January 1, 2022 to f</w:t>
      </w:r>
      <w:r w:rsidRPr="00B11B3B">
        <w:rPr>
          <w:rFonts w:cstheme="minorHAnsi"/>
          <w:color w:val="231F20"/>
        </w:rPr>
        <w:t xml:space="preserve">und residents of Washington for care at nursing facilities, residential settings like assisted living and adult family homes, professional caregiving like home health care, wheelchair ramps, emergency alert devices, medication reminders, training for family, Meals on Wheels, rides to doctor appointments, dementia education, caregiver support, care coordination. Here are a couple more </w:t>
      </w:r>
      <w:proofErr w:type="gramStart"/>
      <w:r w:rsidRPr="00B11B3B">
        <w:rPr>
          <w:rFonts w:cstheme="minorHAnsi"/>
          <w:color w:val="231F20"/>
        </w:rPr>
        <w:t>details</w:t>
      </w:r>
      <w:r w:rsidR="00A52288">
        <w:rPr>
          <w:rFonts w:cstheme="minorHAnsi"/>
          <w:color w:val="231F20"/>
        </w:rPr>
        <w:t>;</w:t>
      </w:r>
      <w:proofErr w:type="gramEnd"/>
    </w:p>
    <w:p w14:paraId="06677589" w14:textId="4A14B02E" w:rsidR="00B11B3B" w:rsidRPr="00B11B3B" w:rsidRDefault="00B11B3B" w:rsidP="00B11B3B">
      <w:pPr>
        <w:autoSpaceDE w:val="0"/>
        <w:autoSpaceDN w:val="0"/>
        <w:adjustRightInd w:val="0"/>
        <w:spacing w:after="0" w:line="240" w:lineRule="auto"/>
        <w:rPr>
          <w:rFonts w:cstheme="minorHAnsi"/>
          <w:color w:val="231F20"/>
        </w:rPr>
      </w:pPr>
    </w:p>
    <w:p w14:paraId="135E1D1E" w14:textId="77777777" w:rsidR="00B11B3B" w:rsidRPr="00B11B3B" w:rsidRDefault="00B11B3B" w:rsidP="00B11B3B">
      <w:pPr>
        <w:autoSpaceDE w:val="0"/>
        <w:autoSpaceDN w:val="0"/>
        <w:adjustRightInd w:val="0"/>
        <w:spacing w:after="0" w:line="240" w:lineRule="auto"/>
        <w:rPr>
          <w:rFonts w:cstheme="minorHAnsi"/>
          <w:b/>
          <w:bCs/>
          <w:color w:val="000000" w:themeColor="text1"/>
        </w:rPr>
      </w:pPr>
      <w:r w:rsidRPr="00B11B3B">
        <w:rPr>
          <w:rFonts w:cstheme="minorHAnsi"/>
          <w:b/>
          <w:bCs/>
          <w:color w:val="000000" w:themeColor="text1"/>
        </w:rPr>
        <w:t>WHAT IS IT?</w:t>
      </w:r>
    </w:p>
    <w:p w14:paraId="4B91315C" w14:textId="24050D79" w:rsidR="00243EC5" w:rsidRDefault="00B11B3B" w:rsidP="00243EC5">
      <w:pPr>
        <w:pStyle w:val="ListParagraph"/>
        <w:numPr>
          <w:ilvl w:val="0"/>
          <w:numId w:val="1"/>
        </w:numPr>
        <w:autoSpaceDE w:val="0"/>
        <w:autoSpaceDN w:val="0"/>
        <w:adjustRightInd w:val="0"/>
        <w:spacing w:after="0" w:line="240" w:lineRule="auto"/>
        <w:rPr>
          <w:rFonts w:cstheme="minorHAnsi"/>
          <w:color w:val="231F20"/>
        </w:rPr>
      </w:pPr>
      <w:r w:rsidRPr="00B11B3B">
        <w:rPr>
          <w:rFonts w:cstheme="minorHAnsi"/>
          <w:color w:val="231F20"/>
        </w:rPr>
        <w:t>Long-Term Services &amp; Supports ("LTSS") benefit which is publicly funded by a 0.58% payroll tax on all employee wages and remuneration.</w:t>
      </w:r>
      <w:r w:rsidR="00243EC5">
        <w:rPr>
          <w:rFonts w:cstheme="minorHAnsi"/>
          <w:color w:val="231F20"/>
        </w:rPr>
        <w:t xml:space="preserve"> Here is an example of the payroll tax - </w:t>
      </w:r>
    </w:p>
    <w:p w14:paraId="2AC581E5" w14:textId="6E43819F" w:rsidR="00243EC5" w:rsidRDefault="00243EC5" w:rsidP="00243EC5">
      <w:pPr>
        <w:autoSpaceDE w:val="0"/>
        <w:autoSpaceDN w:val="0"/>
        <w:adjustRightInd w:val="0"/>
        <w:spacing w:after="0" w:line="240" w:lineRule="auto"/>
        <w:ind w:left="720"/>
        <w:rPr>
          <w:rFonts w:cstheme="minorHAnsi"/>
          <w:color w:val="231F20"/>
        </w:rPr>
      </w:pPr>
    </w:p>
    <w:tbl>
      <w:tblPr>
        <w:tblpPr w:leftFromText="180" w:rightFromText="180" w:vertAnchor="text" w:horzAnchor="margin" w:tblpXSpec="center" w:tblpY="-11"/>
        <w:tblW w:w="0" w:type="auto"/>
        <w:tblCellMar>
          <w:left w:w="0" w:type="dxa"/>
          <w:right w:w="0" w:type="dxa"/>
        </w:tblCellMar>
        <w:tblLook w:val="04A0" w:firstRow="1" w:lastRow="0" w:firstColumn="1" w:lastColumn="0" w:noHBand="0" w:noVBand="1"/>
      </w:tblPr>
      <w:tblGrid>
        <w:gridCol w:w="1997"/>
        <w:gridCol w:w="1997"/>
      </w:tblGrid>
      <w:tr w:rsidR="00243EC5" w14:paraId="42B3933A" w14:textId="77777777" w:rsidTr="00243EC5">
        <w:trPr>
          <w:trHeight w:val="257"/>
        </w:trPr>
        <w:tc>
          <w:tcPr>
            <w:tcW w:w="39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587B1" w14:textId="77777777" w:rsidR="00243EC5" w:rsidRPr="00243EC5" w:rsidRDefault="00243EC5" w:rsidP="00243EC5">
            <w:pPr>
              <w:pStyle w:val="xmsonormal"/>
              <w:jc w:val="center"/>
              <w:rPr>
                <w:b/>
                <w:bCs/>
              </w:rPr>
            </w:pPr>
            <w:r w:rsidRPr="00243EC5">
              <w:rPr>
                <w:b/>
                <w:bCs/>
              </w:rPr>
              <w:t xml:space="preserve">WA State LTC Trust Act </w:t>
            </w:r>
          </w:p>
        </w:tc>
      </w:tr>
      <w:tr w:rsidR="00243EC5" w14:paraId="328A0FC9" w14:textId="77777777" w:rsidTr="00243EC5">
        <w:trPr>
          <w:trHeight w:val="257"/>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3F08F" w14:textId="77777777" w:rsidR="00243EC5" w:rsidRDefault="00243EC5" w:rsidP="00243EC5">
            <w:pPr>
              <w:pStyle w:val="xmsonormal"/>
              <w:jc w:val="center"/>
            </w:pPr>
            <w:r>
              <w:t>Annual Salary</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43D08BA5" w14:textId="77777777" w:rsidR="00243EC5" w:rsidRDefault="00243EC5" w:rsidP="00243EC5">
            <w:pPr>
              <w:pStyle w:val="xmsonormal"/>
              <w:jc w:val="center"/>
            </w:pPr>
            <w:r>
              <w:t>Annual Payroll Tax</w:t>
            </w:r>
          </w:p>
        </w:tc>
      </w:tr>
      <w:tr w:rsidR="00243EC5" w14:paraId="08775179" w14:textId="77777777" w:rsidTr="00243EC5">
        <w:trPr>
          <w:trHeight w:val="249"/>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C5980" w14:textId="77777777" w:rsidR="00243EC5" w:rsidRDefault="00243EC5" w:rsidP="00243EC5">
            <w:pPr>
              <w:pStyle w:val="xmsonormal"/>
              <w:jc w:val="center"/>
            </w:pPr>
            <w:r>
              <w:t>$50,000</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24526848" w14:textId="77777777" w:rsidR="00243EC5" w:rsidRDefault="00243EC5" w:rsidP="00243EC5">
            <w:pPr>
              <w:pStyle w:val="xmsonormal"/>
              <w:jc w:val="center"/>
            </w:pPr>
            <w:r>
              <w:t>$290</w:t>
            </w:r>
          </w:p>
        </w:tc>
      </w:tr>
      <w:tr w:rsidR="00243EC5" w14:paraId="3487A7CD" w14:textId="77777777" w:rsidTr="00243EC5">
        <w:trPr>
          <w:trHeight w:val="257"/>
        </w:trPr>
        <w:tc>
          <w:tcPr>
            <w:tcW w:w="1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5517" w14:textId="77777777" w:rsidR="00243EC5" w:rsidRDefault="00243EC5" w:rsidP="00243EC5">
            <w:pPr>
              <w:pStyle w:val="xmsonormal"/>
              <w:jc w:val="center"/>
            </w:pPr>
            <w:r>
              <w:t>$100,000</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37362DCB" w14:textId="77777777" w:rsidR="00243EC5" w:rsidRDefault="00243EC5" w:rsidP="00243EC5">
            <w:pPr>
              <w:pStyle w:val="xmsonormal"/>
              <w:jc w:val="center"/>
            </w:pPr>
            <w:r>
              <w:t>$580</w:t>
            </w:r>
          </w:p>
        </w:tc>
      </w:tr>
    </w:tbl>
    <w:p w14:paraId="2ED09D42" w14:textId="77777777" w:rsidR="00243EC5" w:rsidRDefault="00243EC5" w:rsidP="00243EC5">
      <w:pPr>
        <w:autoSpaceDE w:val="0"/>
        <w:autoSpaceDN w:val="0"/>
        <w:adjustRightInd w:val="0"/>
        <w:spacing w:after="0" w:line="240" w:lineRule="auto"/>
        <w:ind w:left="720"/>
        <w:rPr>
          <w:rFonts w:cstheme="minorHAnsi"/>
          <w:color w:val="231F20"/>
        </w:rPr>
      </w:pPr>
    </w:p>
    <w:p w14:paraId="4D95289A" w14:textId="77777777" w:rsidR="00243EC5" w:rsidRPr="00243EC5" w:rsidRDefault="00243EC5" w:rsidP="00243EC5">
      <w:pPr>
        <w:autoSpaceDE w:val="0"/>
        <w:autoSpaceDN w:val="0"/>
        <w:adjustRightInd w:val="0"/>
        <w:spacing w:after="0" w:line="240" w:lineRule="auto"/>
        <w:rPr>
          <w:rFonts w:cstheme="minorHAnsi"/>
          <w:color w:val="231F20"/>
        </w:rPr>
      </w:pPr>
    </w:p>
    <w:p w14:paraId="1337AF84" w14:textId="77777777" w:rsidR="00243EC5" w:rsidRDefault="00243EC5" w:rsidP="00243EC5">
      <w:pPr>
        <w:pStyle w:val="ListParagraph"/>
        <w:autoSpaceDE w:val="0"/>
        <w:autoSpaceDN w:val="0"/>
        <w:adjustRightInd w:val="0"/>
        <w:spacing w:after="0" w:line="240" w:lineRule="auto"/>
        <w:rPr>
          <w:rFonts w:cstheme="minorHAnsi"/>
          <w:color w:val="231F20"/>
        </w:rPr>
      </w:pPr>
    </w:p>
    <w:p w14:paraId="0F14013C" w14:textId="77777777" w:rsidR="00243EC5" w:rsidRDefault="00243EC5" w:rsidP="00243EC5">
      <w:pPr>
        <w:pStyle w:val="ListParagraph"/>
        <w:autoSpaceDE w:val="0"/>
        <w:autoSpaceDN w:val="0"/>
        <w:adjustRightInd w:val="0"/>
        <w:spacing w:after="0" w:line="240" w:lineRule="auto"/>
        <w:rPr>
          <w:rFonts w:cstheme="minorHAnsi"/>
          <w:color w:val="231F20"/>
        </w:rPr>
      </w:pPr>
    </w:p>
    <w:p w14:paraId="0711C9B0" w14:textId="77777777" w:rsidR="00243EC5" w:rsidRDefault="00243EC5" w:rsidP="00243EC5">
      <w:pPr>
        <w:pStyle w:val="ListParagraph"/>
        <w:autoSpaceDE w:val="0"/>
        <w:autoSpaceDN w:val="0"/>
        <w:adjustRightInd w:val="0"/>
        <w:spacing w:after="0" w:line="240" w:lineRule="auto"/>
        <w:rPr>
          <w:rFonts w:cstheme="minorHAnsi"/>
          <w:color w:val="231F20"/>
        </w:rPr>
      </w:pPr>
    </w:p>
    <w:p w14:paraId="6BB89DF4" w14:textId="77777777" w:rsidR="00243EC5" w:rsidRDefault="00243EC5" w:rsidP="00243EC5">
      <w:pPr>
        <w:pStyle w:val="ListParagraph"/>
        <w:autoSpaceDE w:val="0"/>
        <w:autoSpaceDN w:val="0"/>
        <w:adjustRightInd w:val="0"/>
        <w:spacing w:after="0" w:line="240" w:lineRule="auto"/>
        <w:rPr>
          <w:rFonts w:cstheme="minorHAnsi"/>
          <w:color w:val="231F20"/>
        </w:rPr>
      </w:pPr>
    </w:p>
    <w:p w14:paraId="0BBAA51E" w14:textId="4C810BE4" w:rsidR="00B11B3B" w:rsidRPr="00243EC5" w:rsidRDefault="00B11B3B" w:rsidP="00243EC5">
      <w:pPr>
        <w:pStyle w:val="ListParagraph"/>
        <w:numPr>
          <w:ilvl w:val="0"/>
          <w:numId w:val="1"/>
        </w:numPr>
        <w:autoSpaceDE w:val="0"/>
        <w:autoSpaceDN w:val="0"/>
        <w:adjustRightInd w:val="0"/>
        <w:spacing w:after="0" w:line="240" w:lineRule="auto"/>
        <w:rPr>
          <w:rFonts w:cstheme="minorHAnsi"/>
          <w:color w:val="231F20"/>
        </w:rPr>
      </w:pPr>
      <w:r w:rsidRPr="00B11B3B">
        <w:rPr>
          <w:rFonts w:cstheme="minorHAnsi"/>
          <w:color w:val="231F20"/>
        </w:rPr>
        <w:t>Benefit is vested by individuals who work a minimum of 500-hrs/</w:t>
      </w:r>
      <w:proofErr w:type="spellStart"/>
      <w:r w:rsidRPr="00B11B3B">
        <w:rPr>
          <w:rFonts w:cstheme="minorHAnsi"/>
          <w:color w:val="231F20"/>
        </w:rPr>
        <w:t>yr</w:t>
      </w:r>
      <w:proofErr w:type="spellEnd"/>
      <w:r w:rsidRPr="00B11B3B">
        <w:rPr>
          <w:rFonts w:cstheme="minorHAnsi"/>
          <w:color w:val="231F20"/>
        </w:rPr>
        <w:t xml:space="preserve"> who pay premiums for at least 10 years (without a break of 5 consecutive years) OR who pay premiums for 3 of the last 6 years.</w:t>
      </w:r>
    </w:p>
    <w:p w14:paraId="325D16B2" w14:textId="77777777" w:rsidR="00A52288" w:rsidRDefault="00A52288" w:rsidP="00A52288">
      <w:pPr>
        <w:autoSpaceDE w:val="0"/>
        <w:autoSpaceDN w:val="0"/>
        <w:adjustRightInd w:val="0"/>
        <w:spacing w:after="0" w:line="240" w:lineRule="auto"/>
        <w:rPr>
          <w:rFonts w:cstheme="minorHAnsi"/>
          <w:b/>
          <w:bCs/>
          <w:color w:val="000000" w:themeColor="text1"/>
        </w:rPr>
      </w:pPr>
    </w:p>
    <w:p w14:paraId="383C79B7" w14:textId="6594F81C" w:rsidR="00A52288" w:rsidRPr="00B11B3B" w:rsidRDefault="00A52288" w:rsidP="00A52288">
      <w:pPr>
        <w:autoSpaceDE w:val="0"/>
        <w:autoSpaceDN w:val="0"/>
        <w:adjustRightInd w:val="0"/>
        <w:spacing w:after="0" w:line="240" w:lineRule="auto"/>
        <w:rPr>
          <w:rFonts w:cstheme="minorHAnsi"/>
          <w:b/>
          <w:bCs/>
          <w:color w:val="000000" w:themeColor="text1"/>
        </w:rPr>
      </w:pPr>
      <w:r>
        <w:rPr>
          <w:rFonts w:cstheme="minorHAnsi"/>
          <w:b/>
          <w:bCs/>
          <w:color w:val="000000" w:themeColor="text1"/>
        </w:rPr>
        <w:t>HOW DOES IT WORK</w:t>
      </w:r>
      <w:r w:rsidRPr="00B11B3B">
        <w:rPr>
          <w:rFonts w:cstheme="minorHAnsi"/>
          <w:b/>
          <w:bCs/>
          <w:color w:val="000000" w:themeColor="text1"/>
        </w:rPr>
        <w:t>?</w:t>
      </w:r>
    </w:p>
    <w:p w14:paraId="3208D20B" w14:textId="04F8A20D" w:rsidR="00A52288" w:rsidRPr="00A52288" w:rsidRDefault="00A52288" w:rsidP="00A52288">
      <w:pPr>
        <w:pStyle w:val="ListParagraph"/>
        <w:numPr>
          <w:ilvl w:val="0"/>
          <w:numId w:val="4"/>
        </w:numPr>
        <w:autoSpaceDE w:val="0"/>
        <w:autoSpaceDN w:val="0"/>
        <w:adjustRightInd w:val="0"/>
        <w:spacing w:after="0" w:line="240" w:lineRule="auto"/>
        <w:rPr>
          <w:rFonts w:cstheme="minorHAnsi"/>
        </w:rPr>
      </w:pPr>
      <w:r w:rsidRPr="00A52288">
        <w:rPr>
          <w:rFonts w:cstheme="minorHAnsi"/>
        </w:rPr>
        <w:t>Benefits are paid in $100 "stackable" units, up to a $36,500 lifetime maximum.</w:t>
      </w:r>
    </w:p>
    <w:p w14:paraId="14E6D1F0" w14:textId="60FA9D5E" w:rsidR="00A52288" w:rsidRPr="00A52288" w:rsidRDefault="00A52288" w:rsidP="00A52288">
      <w:pPr>
        <w:pStyle w:val="ListParagraph"/>
        <w:numPr>
          <w:ilvl w:val="0"/>
          <w:numId w:val="4"/>
        </w:numPr>
        <w:autoSpaceDE w:val="0"/>
        <w:autoSpaceDN w:val="0"/>
        <w:adjustRightInd w:val="0"/>
        <w:spacing w:after="0" w:line="240" w:lineRule="auto"/>
        <w:rPr>
          <w:rFonts w:cstheme="minorHAnsi"/>
        </w:rPr>
      </w:pPr>
      <w:r w:rsidRPr="00A52288">
        <w:rPr>
          <w:rFonts w:cstheme="minorHAnsi"/>
        </w:rPr>
        <w:t>Beneficiaries must need assistance with a minimum of 3 of 10 Activities of Daily Living ("ADLs"): medication management, personal hygiene, eating, toileting, transferring, body care, bathing, ambulation/mobility, dressing, and cognitive impairment.</w:t>
      </w:r>
    </w:p>
    <w:p w14:paraId="0C404AEA" w14:textId="784A99C9" w:rsidR="00A52288" w:rsidRPr="00A52288" w:rsidRDefault="00A52288" w:rsidP="00A52288">
      <w:pPr>
        <w:pStyle w:val="ListParagraph"/>
        <w:numPr>
          <w:ilvl w:val="0"/>
          <w:numId w:val="4"/>
        </w:numPr>
        <w:autoSpaceDE w:val="0"/>
        <w:autoSpaceDN w:val="0"/>
        <w:adjustRightInd w:val="0"/>
        <w:spacing w:after="0" w:line="240" w:lineRule="auto"/>
        <w:rPr>
          <w:rFonts w:cstheme="minorHAnsi"/>
          <w:b/>
          <w:bCs/>
          <w:color w:val="000000" w:themeColor="text1"/>
        </w:rPr>
      </w:pPr>
      <w:r w:rsidRPr="00A52288">
        <w:rPr>
          <w:rFonts w:cstheme="minorHAnsi"/>
        </w:rPr>
        <w:t>Providers must be on a Dept of Social and Health Services-approved list.</w:t>
      </w:r>
    </w:p>
    <w:p w14:paraId="1C440398" w14:textId="77777777" w:rsidR="00A52288" w:rsidRPr="00A52288" w:rsidRDefault="00A52288" w:rsidP="00B11B3B">
      <w:pPr>
        <w:autoSpaceDE w:val="0"/>
        <w:autoSpaceDN w:val="0"/>
        <w:adjustRightInd w:val="0"/>
        <w:spacing w:after="0" w:line="240" w:lineRule="auto"/>
        <w:rPr>
          <w:rFonts w:cstheme="minorHAnsi"/>
          <w:b/>
          <w:bCs/>
          <w:color w:val="000000" w:themeColor="text1"/>
        </w:rPr>
      </w:pPr>
    </w:p>
    <w:p w14:paraId="15318961" w14:textId="778DF6DA" w:rsidR="00B11B3B" w:rsidRPr="00A52288" w:rsidRDefault="00B11B3B" w:rsidP="00B11B3B">
      <w:pPr>
        <w:autoSpaceDE w:val="0"/>
        <w:autoSpaceDN w:val="0"/>
        <w:adjustRightInd w:val="0"/>
        <w:spacing w:after="0" w:line="240" w:lineRule="auto"/>
        <w:rPr>
          <w:rFonts w:cstheme="minorHAnsi"/>
          <w:b/>
          <w:bCs/>
          <w:color w:val="000000" w:themeColor="text1"/>
        </w:rPr>
      </w:pPr>
      <w:r w:rsidRPr="00A52288">
        <w:rPr>
          <w:rFonts w:cstheme="minorHAnsi"/>
          <w:b/>
          <w:bCs/>
          <w:color w:val="000000" w:themeColor="text1"/>
        </w:rPr>
        <w:t>WHO?</w:t>
      </w:r>
    </w:p>
    <w:p w14:paraId="2870198B" w14:textId="516D8884" w:rsidR="00B11B3B" w:rsidRPr="00A52288" w:rsidRDefault="00B11B3B" w:rsidP="00B11B3B">
      <w:pPr>
        <w:pStyle w:val="ListParagraph"/>
        <w:numPr>
          <w:ilvl w:val="0"/>
          <w:numId w:val="1"/>
        </w:numPr>
        <w:autoSpaceDE w:val="0"/>
        <w:autoSpaceDN w:val="0"/>
        <w:adjustRightInd w:val="0"/>
        <w:spacing w:after="0" w:line="240" w:lineRule="auto"/>
        <w:rPr>
          <w:rFonts w:cstheme="minorHAnsi"/>
          <w:color w:val="231F20"/>
        </w:rPr>
      </w:pPr>
      <w:r w:rsidRPr="00A52288">
        <w:rPr>
          <w:rFonts w:cstheme="minorHAnsi"/>
          <w:color w:val="231F20"/>
        </w:rPr>
        <w:t>Mandatory for all W-2 employees in Washington State over the age of 18.</w:t>
      </w:r>
    </w:p>
    <w:p w14:paraId="58EF67AA" w14:textId="4B496A22" w:rsidR="00A52288" w:rsidRPr="00A52288" w:rsidRDefault="00A52288" w:rsidP="00A52288">
      <w:pPr>
        <w:pStyle w:val="ListParagraph"/>
        <w:numPr>
          <w:ilvl w:val="0"/>
          <w:numId w:val="1"/>
        </w:numPr>
        <w:autoSpaceDE w:val="0"/>
        <w:autoSpaceDN w:val="0"/>
        <w:adjustRightInd w:val="0"/>
        <w:spacing w:after="0" w:line="240" w:lineRule="auto"/>
        <w:rPr>
          <w:rFonts w:cstheme="minorHAnsi"/>
          <w:color w:val="231F20"/>
        </w:rPr>
      </w:pPr>
      <w:r w:rsidRPr="00A52288">
        <w:rPr>
          <w:rFonts w:cstheme="minorHAnsi"/>
          <w:color w:val="231F20"/>
        </w:rPr>
        <w:t xml:space="preserve">Only Washington residents can qualify for the benefits. Residents who move out of the state for more than 5 years forfeit both benefits and premiums. </w:t>
      </w:r>
    </w:p>
    <w:p w14:paraId="16B7C362" w14:textId="139B500D" w:rsidR="00B11B3B" w:rsidRPr="00A52288" w:rsidRDefault="00B11B3B" w:rsidP="00B11B3B">
      <w:pPr>
        <w:pStyle w:val="ListParagraph"/>
        <w:numPr>
          <w:ilvl w:val="0"/>
          <w:numId w:val="3"/>
        </w:numPr>
        <w:autoSpaceDE w:val="0"/>
        <w:autoSpaceDN w:val="0"/>
        <w:adjustRightInd w:val="0"/>
        <w:spacing w:after="0" w:line="240" w:lineRule="auto"/>
        <w:rPr>
          <w:rFonts w:cstheme="minorHAnsi"/>
        </w:rPr>
      </w:pPr>
      <w:r w:rsidRPr="00A52288">
        <w:rPr>
          <w:rFonts w:cstheme="minorHAnsi"/>
          <w:color w:val="231F20"/>
        </w:rPr>
        <w:t>Owners of private LTC insurance may "opt-out" of the program permanently by applying for an exemption between October 1st, 2021 and December 31st, 2022.</w:t>
      </w:r>
    </w:p>
    <w:p w14:paraId="485AB2FA" w14:textId="7D5C8667" w:rsidR="00B11B3B" w:rsidRDefault="00B11B3B" w:rsidP="00B11B3B">
      <w:pPr>
        <w:autoSpaceDE w:val="0"/>
        <w:autoSpaceDN w:val="0"/>
        <w:adjustRightInd w:val="0"/>
        <w:spacing w:after="0" w:line="240" w:lineRule="auto"/>
        <w:rPr>
          <w:rFonts w:cstheme="minorHAnsi"/>
        </w:rPr>
      </w:pPr>
    </w:p>
    <w:p w14:paraId="437C6DF6" w14:textId="6C707429" w:rsidR="00B11B3B" w:rsidRPr="00B11B3B" w:rsidRDefault="00B11B3B" w:rsidP="00B11B3B">
      <w:pPr>
        <w:autoSpaceDE w:val="0"/>
        <w:autoSpaceDN w:val="0"/>
        <w:adjustRightInd w:val="0"/>
        <w:spacing w:after="0" w:line="240" w:lineRule="auto"/>
        <w:rPr>
          <w:rFonts w:cstheme="minorHAnsi"/>
          <w:b/>
          <w:bCs/>
          <w:color w:val="000000" w:themeColor="text1"/>
        </w:rPr>
      </w:pPr>
      <w:r>
        <w:rPr>
          <w:rFonts w:cstheme="minorHAnsi"/>
          <w:b/>
          <w:bCs/>
          <w:color w:val="000000" w:themeColor="text1"/>
        </w:rPr>
        <w:t>WHEN</w:t>
      </w:r>
      <w:r w:rsidRPr="00B11B3B">
        <w:rPr>
          <w:rFonts w:cstheme="minorHAnsi"/>
          <w:b/>
          <w:bCs/>
          <w:color w:val="000000" w:themeColor="text1"/>
        </w:rPr>
        <w:t>?</w:t>
      </w:r>
    </w:p>
    <w:p w14:paraId="619D2A0F" w14:textId="51120D47" w:rsidR="00B11B3B" w:rsidRPr="00B11B3B" w:rsidRDefault="00B11B3B" w:rsidP="00B11B3B">
      <w:pPr>
        <w:pStyle w:val="ListParagraph"/>
        <w:numPr>
          <w:ilvl w:val="0"/>
          <w:numId w:val="3"/>
        </w:numPr>
        <w:autoSpaceDE w:val="0"/>
        <w:autoSpaceDN w:val="0"/>
        <w:adjustRightInd w:val="0"/>
        <w:spacing w:after="0" w:line="240" w:lineRule="auto"/>
        <w:rPr>
          <w:rFonts w:cstheme="minorHAnsi"/>
        </w:rPr>
      </w:pPr>
      <w:r>
        <w:rPr>
          <w:rFonts w:cstheme="minorHAnsi"/>
          <w:color w:val="231F20"/>
        </w:rPr>
        <w:t xml:space="preserve">First payroll </w:t>
      </w:r>
      <w:r w:rsidRPr="00B11B3B">
        <w:rPr>
          <w:rFonts w:cstheme="minorHAnsi"/>
          <w:i/>
          <w:iCs/>
          <w:color w:val="231F20"/>
          <w:u w:val="single"/>
        </w:rPr>
        <w:t>deductions begin January 1, 2022</w:t>
      </w:r>
      <w:r>
        <w:rPr>
          <w:rFonts w:cstheme="minorHAnsi"/>
          <w:i/>
          <w:iCs/>
          <w:color w:val="231F20"/>
          <w:u w:val="single"/>
        </w:rPr>
        <w:t>,</w:t>
      </w:r>
      <w:r w:rsidRPr="00B11B3B">
        <w:rPr>
          <w:rFonts w:cstheme="minorHAnsi"/>
          <w:i/>
          <w:iCs/>
          <w:color w:val="231F20"/>
        </w:rPr>
        <w:t xml:space="preserve"> </w:t>
      </w:r>
      <w:r w:rsidRPr="00B11B3B">
        <w:rPr>
          <w:rFonts w:cstheme="minorHAnsi"/>
          <w:color w:val="231F20"/>
        </w:rPr>
        <w:t>unless</w:t>
      </w:r>
      <w:r>
        <w:rPr>
          <w:rFonts w:cstheme="minorHAnsi"/>
          <w:color w:val="231F20"/>
        </w:rPr>
        <w:t xml:space="preserve"> an opt out is received by HR from the employee</w:t>
      </w:r>
      <w:r w:rsidR="00A52288">
        <w:rPr>
          <w:rFonts w:cstheme="minorHAnsi"/>
          <w:color w:val="231F20"/>
        </w:rPr>
        <w:t xml:space="preserve"> between October 2021-December 2021</w:t>
      </w:r>
      <w:r>
        <w:rPr>
          <w:rFonts w:cstheme="minorHAnsi"/>
          <w:color w:val="231F20"/>
        </w:rPr>
        <w:t>.</w:t>
      </w:r>
      <w:r w:rsidR="00A52288">
        <w:rPr>
          <w:rFonts w:cstheme="minorHAnsi"/>
          <w:color w:val="231F20"/>
        </w:rPr>
        <w:t xml:space="preserve"> </w:t>
      </w:r>
    </w:p>
    <w:p w14:paraId="7F4C8473" w14:textId="50EEF264" w:rsidR="00B11B3B" w:rsidRPr="00A52288" w:rsidRDefault="00B11B3B" w:rsidP="00B11B3B">
      <w:pPr>
        <w:pStyle w:val="ListParagraph"/>
        <w:numPr>
          <w:ilvl w:val="0"/>
          <w:numId w:val="3"/>
        </w:numPr>
        <w:autoSpaceDE w:val="0"/>
        <w:autoSpaceDN w:val="0"/>
        <w:adjustRightInd w:val="0"/>
        <w:spacing w:after="0" w:line="240" w:lineRule="auto"/>
        <w:rPr>
          <w:rFonts w:cstheme="minorHAnsi"/>
        </w:rPr>
      </w:pPr>
      <w:r>
        <w:rPr>
          <w:rFonts w:cstheme="minorHAnsi"/>
          <w:color w:val="231F20"/>
        </w:rPr>
        <w:t xml:space="preserve">First claim for </w:t>
      </w:r>
      <w:r w:rsidRPr="00B11B3B">
        <w:rPr>
          <w:rFonts w:cstheme="minorHAnsi"/>
          <w:i/>
          <w:iCs/>
          <w:color w:val="231F20"/>
          <w:u w:val="single"/>
        </w:rPr>
        <w:t>benefits can begin January 1, 2025.</w:t>
      </w:r>
    </w:p>
    <w:p w14:paraId="79D5BA3F" w14:textId="3FF31B65" w:rsidR="00A52288" w:rsidRDefault="00A52288" w:rsidP="00A52288">
      <w:pPr>
        <w:autoSpaceDE w:val="0"/>
        <w:autoSpaceDN w:val="0"/>
        <w:adjustRightInd w:val="0"/>
        <w:spacing w:after="0" w:line="240" w:lineRule="auto"/>
        <w:rPr>
          <w:rFonts w:cstheme="minorHAnsi"/>
        </w:rPr>
      </w:pPr>
    </w:p>
    <w:p w14:paraId="6C6EBC51" w14:textId="44F74CE0" w:rsidR="00A52288" w:rsidRDefault="00A52288" w:rsidP="00A52288">
      <w:pPr>
        <w:autoSpaceDE w:val="0"/>
        <w:autoSpaceDN w:val="0"/>
        <w:adjustRightInd w:val="0"/>
        <w:spacing w:after="0" w:line="240" w:lineRule="auto"/>
        <w:rPr>
          <w:rFonts w:cstheme="minorHAnsi"/>
          <w:b/>
          <w:bCs/>
        </w:rPr>
      </w:pPr>
      <w:r w:rsidRPr="00A52288">
        <w:rPr>
          <w:rFonts w:cstheme="minorHAnsi"/>
          <w:b/>
          <w:bCs/>
        </w:rPr>
        <w:t>OPTING OUT</w:t>
      </w:r>
    </w:p>
    <w:p w14:paraId="5E4D0424" w14:textId="3D207DB9" w:rsidR="00A52288" w:rsidRPr="00A52288" w:rsidRDefault="00A52288" w:rsidP="00A52288">
      <w:pPr>
        <w:pStyle w:val="ListParagraph"/>
        <w:numPr>
          <w:ilvl w:val="0"/>
          <w:numId w:val="5"/>
        </w:numPr>
        <w:autoSpaceDE w:val="0"/>
        <w:autoSpaceDN w:val="0"/>
        <w:adjustRightInd w:val="0"/>
        <w:spacing w:after="0" w:line="240" w:lineRule="auto"/>
        <w:rPr>
          <w:rFonts w:cstheme="minorHAnsi"/>
          <w:b/>
          <w:bCs/>
        </w:rPr>
      </w:pPr>
      <w:r>
        <w:rPr>
          <w:rFonts w:cstheme="minorHAnsi"/>
        </w:rPr>
        <w:t>There is only one opportunity to opt out from the tax beginning January 1, 2022. To opt out an employee must attain long-term care (LTC) coverage with an effective</w:t>
      </w:r>
      <w:r w:rsidR="00E33B61">
        <w:rPr>
          <w:rFonts w:cstheme="minorHAnsi"/>
        </w:rPr>
        <w:t xml:space="preserve"> date</w:t>
      </w:r>
      <w:r>
        <w:rPr>
          <w:rFonts w:cstheme="minorHAnsi"/>
        </w:rPr>
        <w:t xml:space="preserve"> of November 1, 2021, receive approval from the state that the coverage qualifies for the opt out and submit the approval to HR by 12/31/2021. </w:t>
      </w:r>
      <w:r w:rsidR="00D31E59" w:rsidRPr="00D31E59">
        <w:rPr>
          <w:rFonts w:cstheme="minorHAnsi"/>
          <w:highlight w:val="yellow"/>
        </w:rPr>
        <w:t>(Company Name)</w:t>
      </w:r>
      <w:r>
        <w:rPr>
          <w:rFonts w:cstheme="minorHAnsi"/>
        </w:rPr>
        <w:t xml:space="preserve"> is responsible for collecting the tax and submitting to the state on your behalf. </w:t>
      </w:r>
      <w:r w:rsidR="00156A6C">
        <w:rPr>
          <w:rFonts w:cstheme="minorHAnsi"/>
        </w:rPr>
        <w:t>Approval submissions after 12/31/2021 will not be accepted and the tax will be</w:t>
      </w:r>
      <w:r w:rsidR="00CA2234">
        <w:rPr>
          <w:rFonts w:cstheme="minorHAnsi"/>
        </w:rPr>
        <w:t xml:space="preserve"> collected. </w:t>
      </w:r>
    </w:p>
    <w:sectPr w:rsidR="00A52288" w:rsidRPr="00A5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538"/>
    <w:multiLevelType w:val="hybridMultilevel"/>
    <w:tmpl w:val="4CD2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1B78"/>
    <w:multiLevelType w:val="hybridMultilevel"/>
    <w:tmpl w:val="0602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0F0D"/>
    <w:multiLevelType w:val="hybridMultilevel"/>
    <w:tmpl w:val="59B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40A64"/>
    <w:multiLevelType w:val="hybridMultilevel"/>
    <w:tmpl w:val="B4D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4181"/>
    <w:multiLevelType w:val="hybridMultilevel"/>
    <w:tmpl w:val="1DDCD368"/>
    <w:lvl w:ilvl="0" w:tplc="05CA8036">
      <w:numFmt w:val="bullet"/>
      <w:lvlText w:val=""/>
      <w:lvlJc w:val="left"/>
      <w:pPr>
        <w:ind w:left="720" w:hanging="360"/>
      </w:pPr>
      <w:rPr>
        <w:rFonts w:ascii="CIDFont+F5" w:eastAsia="CIDFont+F5" w:hAnsi="CIDFont+F3" w:cs="CIDFont+F5"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B"/>
    <w:rsid w:val="00156A6C"/>
    <w:rsid w:val="00243EC5"/>
    <w:rsid w:val="00A52288"/>
    <w:rsid w:val="00B11B3B"/>
    <w:rsid w:val="00CA2234"/>
    <w:rsid w:val="00D31E59"/>
    <w:rsid w:val="00E3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944F"/>
  <w15:chartTrackingRefBased/>
  <w15:docId w15:val="{3004A81C-BE34-484B-A2D2-CC938354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3B"/>
    <w:pPr>
      <w:ind w:left="720"/>
      <w:contextualSpacing/>
    </w:pPr>
  </w:style>
  <w:style w:type="paragraph" w:customStyle="1" w:styleId="xmsonormal">
    <w:name w:val="x_msonormal"/>
    <w:basedOn w:val="Normal"/>
    <w:rsid w:val="00243EC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6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Fuehrer</dc:creator>
  <cp:keywords/>
  <dc:description/>
  <cp:lastModifiedBy>Tyson Fuehrer</cp:lastModifiedBy>
  <cp:revision>5</cp:revision>
  <dcterms:created xsi:type="dcterms:W3CDTF">2021-05-07T15:24:00Z</dcterms:created>
  <dcterms:modified xsi:type="dcterms:W3CDTF">2021-05-21T17:42:00Z</dcterms:modified>
</cp:coreProperties>
</file>